
<file path=[Content_Types].xml><?xml version="1.0" encoding="utf-8"?>
<Types xmlns="http://schemas.openxmlformats.org/package/2006/content-types">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pacing w:lineRule="auto" w:line="276"/>
        <w:jc w:val="center"/>
        <w:rPr>
          <w:b/>
          <w:b/>
          <w:caps/>
          <w:spacing w:val="20"/>
          <w:sz w:val="24"/>
          <w:szCs w:val="24"/>
        </w:rPr>
      </w:pPr>
      <w:r>
        <w:rPr>
          <w:b/>
          <w:caps/>
          <w:spacing w:val="20"/>
          <w:sz w:val="24"/>
          <w:szCs w:val="24"/>
        </w:rPr>
      </w:r>
    </w:p>
    <w:p>
      <w:pPr>
        <w:pStyle w:val="Normal"/>
        <w:jc w:val="center"/>
        <w:rPr>
          <w:sz w:val="20"/>
          <w:szCs w:val="20"/>
        </w:rPr>
      </w:pPr>
      <w:r>
        <w:rPr>
          <w:sz w:val="20"/>
          <w:szCs w:val="20"/>
        </w:rPr>
        <w:t>Р О С С И Й С К А Я   Ф Е Д Е Р А Ц И Я</w:t>
      </w:r>
    </w:p>
    <w:p>
      <w:pPr>
        <w:pStyle w:val="Normal"/>
        <w:jc w:val="center"/>
        <w:rPr>
          <w:sz w:val="20"/>
          <w:szCs w:val="20"/>
        </w:rPr>
      </w:pPr>
      <w:r>
        <w:rPr>
          <w:sz w:val="20"/>
          <w:szCs w:val="20"/>
        </w:rPr>
        <w:t>ИРКУТСКАЯ ОБЛАСТЬ</w:t>
      </w:r>
    </w:p>
    <w:p>
      <w:pPr>
        <w:pStyle w:val="Normal"/>
        <w:jc w:val="center"/>
        <w:rPr>
          <w:sz w:val="20"/>
          <w:szCs w:val="20"/>
        </w:rPr>
      </w:pPr>
      <w:r>
        <w:rPr>
          <w:sz w:val="20"/>
          <w:szCs w:val="20"/>
        </w:rPr>
        <w:t>АДМИНИСТРАЦИЯ УСТЬ-ИЛИМСКОГО МУНИЦИПАЛЬНОГО ОКРУГА</w:t>
      </w:r>
    </w:p>
    <w:p>
      <w:pPr>
        <w:pStyle w:val="Normal"/>
        <w:rPr>
          <w:sz w:val="20"/>
          <w:szCs w:val="20"/>
        </w:rPr>
      </w:pPr>
      <w:r>
        <w:rPr>
          <w:sz w:val="20"/>
          <w:szCs w:val="20"/>
        </w:rPr>
      </w:r>
    </w:p>
    <w:p>
      <w:pPr>
        <w:pStyle w:val="Normal"/>
        <w:rPr>
          <w:sz w:val="20"/>
          <w:szCs w:val="20"/>
        </w:rPr>
      </w:pPr>
      <w:r>
        <w:rPr>
          <w:sz w:val="20"/>
          <w:szCs w:val="20"/>
        </w:rPr>
      </w:r>
    </w:p>
    <w:p>
      <w:pPr>
        <w:pStyle w:val="Normal"/>
        <w:jc w:val="center"/>
        <w:rPr>
          <w:sz w:val="20"/>
          <w:szCs w:val="20"/>
        </w:rPr>
      </w:pPr>
      <w:r>
        <w:rPr>
          <w:sz w:val="20"/>
          <w:szCs w:val="20"/>
        </w:rPr>
        <w:t xml:space="preserve">КОМИТЕТ ПО УПРАВЛЕНИЮ МУНИЦИПАЛЬНЫМ  ИМУЩЕСТВОМ </w:t>
      </w:r>
    </w:p>
    <w:p>
      <w:pPr>
        <w:pStyle w:val="Normal"/>
        <w:jc w:val="center"/>
        <w:rPr>
          <w:sz w:val="20"/>
          <w:szCs w:val="20"/>
        </w:rPr>
      </w:pPr>
      <w:r>
        <w:rPr>
          <w:sz w:val="20"/>
          <w:szCs w:val="20"/>
        </w:rPr>
        <w:t>УСТЬ-ИЛИМСКОГО МУНИЦИПАЛЬНОГО ОКРУГА</w:t>
      </w:r>
    </w:p>
    <w:p>
      <w:pPr>
        <w:pStyle w:val="Normal"/>
        <w:jc w:val="center"/>
        <w:rPr>
          <w:sz w:val="20"/>
          <w:szCs w:val="20"/>
        </w:rPr>
      </w:pPr>
      <w:r>
        <w:rPr>
          <w:sz w:val="20"/>
          <w:szCs w:val="20"/>
        </w:rPr>
        <w:t>ПРЕДСЕДАТЕЛЬ КОМИТЕТА</w:t>
      </w:r>
    </w:p>
    <w:p>
      <w:pPr>
        <w:pStyle w:val="Normal"/>
        <w:jc w:val="center"/>
        <w:rPr>
          <w:b w:val="false"/>
          <w:b w:val="false"/>
        </w:rPr>
      </w:pPr>
      <w:r>
        <w:rPr>
          <w:b w:val="false"/>
        </w:rPr>
      </w:r>
    </w:p>
    <w:p>
      <w:pPr>
        <w:pStyle w:val="Normal"/>
        <w:jc w:val="center"/>
        <w:rPr>
          <w:sz w:val="20"/>
          <w:szCs w:val="20"/>
        </w:rPr>
      </w:pPr>
      <w:r>
        <w:rPr>
          <w:b w:val="false"/>
          <w:sz w:val="20"/>
          <w:szCs w:val="20"/>
        </w:rPr>
        <w:t>РАСПОРЯЖЕНИЕ</w:t>
      </w:r>
    </w:p>
    <w:p>
      <w:pPr>
        <w:pStyle w:val="Normal"/>
        <w:rPr>
          <w:sz w:val="20"/>
          <w:szCs w:val="20"/>
        </w:rPr>
      </w:pPr>
      <w:r>
        <w:rPr>
          <w:sz w:val="20"/>
          <w:szCs w:val="20"/>
        </w:rPr>
      </w:r>
    </w:p>
    <w:p>
      <w:pPr>
        <w:pStyle w:val="Normal"/>
        <w:rPr>
          <w:sz w:val="20"/>
          <w:szCs w:val="20"/>
        </w:rPr>
      </w:pPr>
      <w:r>
        <w:rPr>
          <w:sz w:val="20"/>
          <w:szCs w:val="20"/>
        </w:rPr>
      </w:r>
    </w:p>
    <w:p>
      <w:pPr>
        <w:pStyle w:val="Normal"/>
        <w:rPr>
          <w:sz w:val="20"/>
          <w:szCs w:val="20"/>
        </w:rPr>
      </w:pPr>
      <w:r>
        <w:rPr>
          <w:sz w:val="20"/>
          <w:szCs w:val="20"/>
        </w:rPr>
        <w:t>________.202</w:t>
      </w:r>
      <w:r>
        <w:rPr>
          <w:sz w:val="20"/>
          <w:szCs w:val="20"/>
        </w:rPr>
        <w:t>5</w:t>
      </w:r>
      <w:r>
        <w:rPr>
          <w:sz w:val="20"/>
          <w:szCs w:val="20"/>
        </w:rPr>
        <w:t xml:space="preserve">                                                                                                                  </w:t>
      </w:r>
      <w:r>
        <w:rPr>
          <w:color w:val="800000"/>
          <w:sz w:val="20"/>
          <w:szCs w:val="20"/>
        </w:rPr>
        <w:t xml:space="preserve">                        </w:t>
      </w:r>
      <w:r>
        <w:rPr>
          <w:color w:val="000000"/>
          <w:sz w:val="20"/>
          <w:szCs w:val="20"/>
        </w:rPr>
        <w:t xml:space="preserve"> № ____</w:t>
      </w:r>
    </w:p>
    <w:p>
      <w:pPr>
        <w:pStyle w:val="Normal"/>
        <w:jc w:val="center"/>
        <w:rPr>
          <w:b/>
          <w:b/>
          <w:sz w:val="24"/>
          <w:szCs w:val="24"/>
        </w:rPr>
      </w:pPr>
      <w:r>
        <w:rPr>
          <w:sz w:val="20"/>
          <w:szCs w:val="20"/>
        </w:rPr>
        <w:t>г. Усть-Илимск</w:t>
      </w:r>
    </w:p>
    <w:p>
      <w:pPr>
        <w:pStyle w:val="Normal"/>
        <w:jc w:val="center"/>
        <w:rPr>
          <w:sz w:val="24"/>
          <w:szCs w:val="24"/>
        </w:rPr>
      </w:pPr>
      <w:r>
        <w:rPr>
          <w:sz w:val="24"/>
          <w:szCs w:val="24"/>
        </w:rPr>
      </w:r>
    </w:p>
    <w:p>
      <w:pPr>
        <w:pStyle w:val="Normal"/>
        <w:rPr>
          <w:sz w:val="24"/>
          <w:szCs w:val="24"/>
        </w:rPr>
      </w:pPr>
      <w:r>
        <w:rPr>
          <w:sz w:val="20"/>
          <w:szCs w:val="20"/>
        </w:rPr>
        <w:t xml:space="preserve">Об утверждении доклада о результатах </w:t>
      </w:r>
    </w:p>
    <w:p>
      <w:pPr>
        <w:pStyle w:val="Normal"/>
        <w:rPr>
          <w:sz w:val="24"/>
          <w:szCs w:val="24"/>
        </w:rPr>
      </w:pPr>
      <w:r>
        <w:rPr>
          <w:sz w:val="20"/>
          <w:szCs w:val="20"/>
        </w:rPr>
        <w:t xml:space="preserve">обобщения правоприменительной практики </w:t>
      </w:r>
    </w:p>
    <w:p>
      <w:pPr>
        <w:pStyle w:val="Normal"/>
        <w:rPr>
          <w:sz w:val="20"/>
          <w:szCs w:val="20"/>
        </w:rPr>
      </w:pPr>
      <w:r>
        <w:rPr>
          <w:sz w:val="20"/>
          <w:szCs w:val="20"/>
        </w:rPr>
        <w:t xml:space="preserve">при осуществлении земельного контроля на территории </w:t>
      </w:r>
    </w:p>
    <w:p>
      <w:pPr>
        <w:pStyle w:val="Normal"/>
        <w:rPr>
          <w:sz w:val="20"/>
          <w:szCs w:val="20"/>
        </w:rPr>
      </w:pPr>
      <w:r>
        <w:rPr>
          <w:sz w:val="20"/>
          <w:szCs w:val="20"/>
        </w:rPr>
        <w:t>Усть-Илимского муниципального округа за 2024 год</w:t>
      </w:r>
    </w:p>
    <w:p>
      <w:pPr>
        <w:pStyle w:val="Normal"/>
        <w:rPr>
          <w:sz w:val="20"/>
          <w:szCs w:val="20"/>
        </w:rPr>
      </w:pPr>
      <w:r>
        <w:rPr>
          <w:sz w:val="20"/>
          <w:szCs w:val="20"/>
        </w:rPr>
      </w:r>
    </w:p>
    <w:p>
      <w:pPr>
        <w:pStyle w:val="ListParagraph"/>
        <w:tabs>
          <w:tab w:val="left" w:pos="993" w:leader="none"/>
        </w:tabs>
        <w:ind w:left="1068" w:hanging="0"/>
        <w:rPr>
          <w:b/>
          <w:b/>
          <w:bCs/>
          <w:sz w:val="22"/>
          <w:szCs w:val="22"/>
        </w:rPr>
      </w:pPr>
      <w:r>
        <w:rPr>
          <w:b/>
          <w:bCs/>
          <w:sz w:val="22"/>
          <w:szCs w:val="22"/>
        </w:rPr>
      </w:r>
    </w:p>
    <w:p>
      <w:pPr>
        <w:pStyle w:val="Normal"/>
        <w:spacing w:lineRule="auto" w:line="276"/>
        <w:ind w:firstLine="708"/>
        <w:jc w:val="both"/>
        <w:rPr>
          <w:rFonts w:ascii="Times New Roman" w:hAnsi="Times New Roman"/>
          <w:sz w:val="22"/>
          <w:szCs w:val="22"/>
        </w:rPr>
      </w:pPr>
      <w:r>
        <w:rPr>
          <w:color w:val="000000"/>
          <w:sz w:val="22"/>
          <w:szCs w:val="22"/>
          <w:lang w:eastAsia="ar-SA" w:bidi="ar-SA"/>
        </w:rPr>
        <w:t>Согласно ст. 9 Закона Иркутской области от 02.04.2024 N 24-ОЗ "О преобразовании всех поселений, входящих в состав Усть-Илимского муниципального района Иркутской области, путем их объединения", в</w:t>
      </w:r>
      <w:r>
        <w:rPr>
          <w:sz w:val="22"/>
          <w:szCs w:val="22"/>
        </w:rPr>
        <w:t xml:space="preserve"> соответствии со статьей 47 Федерального закона от 31.07.2020 № 248-ФЗ «О государственном контроле (надзоре) и муниципальном контроле в Российской Федерации», Федеральным законом от 06.10.2003 № 131-ФЗ «Об общих принципах организации местного самоуправления в Российской Федерации»</w:t>
      </w:r>
      <w:r>
        <w:rPr>
          <w:rFonts w:eastAsia="Calibri" w:eastAsiaTheme="minorHAnsi"/>
          <w:sz w:val="22"/>
          <w:szCs w:val="22"/>
          <w:lang w:eastAsia="en-US"/>
        </w:rPr>
        <w:t xml:space="preserve">, </w:t>
      </w:r>
      <w:r>
        <w:rPr>
          <w:sz w:val="22"/>
          <w:szCs w:val="22"/>
        </w:rPr>
        <w:t xml:space="preserve">решением Думы Усть-Илимского муниципального округа от 26.09.2024 № 1/32 «Об утверждении Положения о муниципальном земельном контроле на территории Усть-Илимского муниципального округа, </w:t>
      </w:r>
      <w:r>
        <w:rPr>
          <w:rFonts w:eastAsia="Calibri" w:eastAsiaTheme="minorHAnsi"/>
          <w:sz w:val="22"/>
          <w:szCs w:val="22"/>
          <w:lang w:eastAsia="en-US"/>
        </w:rPr>
        <w:t>Положением о Комитете по управлению муниципальным имуществом Усть-Илимского муниципального округа, утвержденного решением Думы Усть-Илимского муниципального округа от 03.10.2024 №2/7</w:t>
      </w:r>
      <w:r>
        <w:rPr>
          <w:sz w:val="22"/>
          <w:szCs w:val="22"/>
        </w:rPr>
        <w:t>,</w:t>
      </w:r>
    </w:p>
    <w:p>
      <w:pPr>
        <w:pStyle w:val="Normal"/>
        <w:tabs>
          <w:tab w:val="left" w:pos="993" w:leader="none"/>
        </w:tabs>
        <w:rPr>
          <w:rFonts w:ascii="Times New Roman" w:hAnsi="Times New Roman"/>
          <w:b/>
          <w:b/>
          <w:sz w:val="20"/>
          <w:szCs w:val="20"/>
        </w:rPr>
      </w:pPr>
      <w:r>
        <w:rPr>
          <w:b/>
          <w:sz w:val="20"/>
          <w:szCs w:val="20"/>
        </w:rPr>
      </w:r>
    </w:p>
    <w:p>
      <w:pPr>
        <w:pStyle w:val="ListParagraph"/>
        <w:numPr>
          <w:ilvl w:val="0"/>
          <w:numId w:val="2"/>
        </w:numPr>
        <w:ind w:left="0" w:firstLine="708"/>
        <w:jc w:val="both"/>
        <w:rPr>
          <w:rFonts w:ascii="Times New Roman" w:hAnsi="Times New Roman"/>
          <w:sz w:val="22"/>
          <w:szCs w:val="22"/>
        </w:rPr>
      </w:pPr>
      <w:r>
        <w:rPr>
          <w:sz w:val="22"/>
          <w:szCs w:val="22"/>
          <w:lang w:eastAsia="fa-IR" w:bidi="fa-IR"/>
        </w:rPr>
        <w:t xml:space="preserve">Утвердить </w:t>
      </w:r>
      <w:r>
        <w:rPr>
          <w:sz w:val="22"/>
          <w:szCs w:val="22"/>
        </w:rPr>
        <w:t>доклад о результатах обобщения правоприменительной практики  при осуществлении земельного контроля на территории Усть-Илимского муниципального округа за 2024 год согласно приложению.</w:t>
      </w:r>
    </w:p>
    <w:p>
      <w:pPr>
        <w:pStyle w:val="ListParagraph"/>
        <w:numPr>
          <w:ilvl w:val="0"/>
          <w:numId w:val="2"/>
        </w:numPr>
        <w:ind w:left="0" w:firstLine="708"/>
        <w:jc w:val="both"/>
        <w:rPr>
          <w:rFonts w:ascii="Times New Roman" w:hAnsi="Times New Roman"/>
          <w:sz w:val="22"/>
          <w:szCs w:val="22"/>
        </w:rPr>
      </w:pPr>
      <w:r>
        <w:rPr>
          <w:sz w:val="22"/>
          <w:szCs w:val="22"/>
        </w:rPr>
        <w:t xml:space="preserve">Настоящее распоряжение разместить на официальном сайте </w:t>
      </w:r>
      <w:r>
        <w:rPr>
          <w:bCs/>
          <w:sz w:val="22"/>
          <w:szCs w:val="22"/>
        </w:rPr>
        <w:t xml:space="preserve"> </w:t>
      </w:r>
      <w:r>
        <w:rPr>
          <w:sz w:val="22"/>
          <w:szCs w:val="22"/>
        </w:rPr>
        <w:t>Администрации Усть-Илимского муниципального округа в информационно-телекоммуникационной сети «Интернет».</w:t>
      </w:r>
    </w:p>
    <w:p>
      <w:pPr>
        <w:pStyle w:val="Normal"/>
        <w:jc w:val="both"/>
        <w:rPr>
          <w:rFonts w:ascii="Times New Roman" w:hAnsi="Times New Roman"/>
          <w:sz w:val="22"/>
          <w:szCs w:val="22"/>
        </w:rPr>
      </w:pPr>
      <w:r>
        <w:rPr>
          <w:sz w:val="22"/>
          <w:szCs w:val="22"/>
        </w:rPr>
      </w:r>
    </w:p>
    <w:p>
      <w:pPr>
        <w:pStyle w:val="Normal"/>
        <w:jc w:val="both"/>
        <w:rPr>
          <w:sz w:val="24"/>
          <w:szCs w:val="24"/>
        </w:rPr>
      </w:pPr>
      <w:r>
        <w:rPr>
          <w:sz w:val="24"/>
          <w:szCs w:val="24"/>
        </w:rPr>
      </w:r>
    </w:p>
    <w:p>
      <w:pPr>
        <w:pStyle w:val="Normal"/>
        <w:jc w:val="both"/>
        <w:rPr>
          <w:sz w:val="24"/>
          <w:szCs w:val="24"/>
        </w:rPr>
      </w:pPr>
      <w:r>
        <w:rPr>
          <w:sz w:val="24"/>
          <w:szCs w:val="24"/>
        </w:rPr>
      </w:r>
    </w:p>
    <w:p>
      <w:pPr>
        <w:pStyle w:val="Normal"/>
        <w:jc w:val="both"/>
        <w:rPr>
          <w:sz w:val="22"/>
          <w:szCs w:val="22"/>
        </w:rPr>
      </w:pPr>
      <w:r>
        <w:rPr>
          <w:bCs/>
          <w:sz w:val="22"/>
          <w:szCs w:val="22"/>
        </w:rPr>
        <w:t xml:space="preserve">Председатель Комитета    </w:t>
        <w:tab/>
        <w:tab/>
        <w:t xml:space="preserve">                                                                             А.С. Бубелова</w:t>
        <w:tab/>
      </w:r>
    </w:p>
    <w:p>
      <w:pPr>
        <w:pStyle w:val="Normal"/>
        <w:jc w:val="right"/>
        <w:rPr>
          <w:sz w:val="22"/>
          <w:szCs w:val="22"/>
        </w:rPr>
      </w:pPr>
      <w:r>
        <w:rPr>
          <w:sz w:val="22"/>
          <w:szCs w:val="22"/>
        </w:rPr>
      </w:r>
    </w:p>
    <w:p>
      <w:pPr>
        <w:pStyle w:val="Normal"/>
        <w:jc w:val="right"/>
        <w:rPr>
          <w:sz w:val="24"/>
          <w:szCs w:val="24"/>
        </w:rPr>
      </w:pPr>
      <w:r>
        <w:rPr>
          <w:sz w:val="24"/>
          <w:szCs w:val="24"/>
        </w:rPr>
      </w:r>
    </w:p>
    <w:p>
      <w:pPr>
        <w:pStyle w:val="Normal"/>
        <w:jc w:val="right"/>
        <w:rPr>
          <w:sz w:val="24"/>
          <w:szCs w:val="24"/>
        </w:rPr>
      </w:pPr>
      <w:r>
        <w:rPr>
          <w:sz w:val="24"/>
          <w:szCs w:val="24"/>
        </w:rPr>
      </w:r>
    </w:p>
    <w:p>
      <w:pPr>
        <w:pStyle w:val="Normal"/>
        <w:jc w:val="right"/>
        <w:rPr>
          <w:sz w:val="24"/>
          <w:szCs w:val="24"/>
        </w:rPr>
      </w:pPr>
      <w:r>
        <w:rPr>
          <w:sz w:val="24"/>
          <w:szCs w:val="24"/>
        </w:rPr>
      </w:r>
    </w:p>
    <w:p>
      <w:pPr>
        <w:pStyle w:val="Normal"/>
        <w:jc w:val="right"/>
        <w:rPr>
          <w:sz w:val="24"/>
          <w:szCs w:val="24"/>
        </w:rPr>
      </w:pPr>
      <w:r>
        <w:rPr>
          <w:sz w:val="24"/>
          <w:szCs w:val="24"/>
        </w:rPr>
      </w:r>
    </w:p>
    <w:p>
      <w:pPr>
        <w:pStyle w:val="Normal"/>
        <w:jc w:val="right"/>
        <w:rPr>
          <w:sz w:val="24"/>
          <w:szCs w:val="24"/>
        </w:rPr>
      </w:pPr>
      <w:r>
        <w:rPr>
          <w:sz w:val="24"/>
          <w:szCs w:val="24"/>
        </w:rPr>
      </w:r>
    </w:p>
    <w:p>
      <w:pPr>
        <w:pStyle w:val="Normal"/>
        <w:jc w:val="right"/>
        <w:rPr>
          <w:sz w:val="24"/>
          <w:szCs w:val="24"/>
        </w:rPr>
      </w:pPr>
      <w:r>
        <w:rPr>
          <w:sz w:val="24"/>
          <w:szCs w:val="24"/>
        </w:rPr>
      </w:r>
    </w:p>
    <w:p>
      <w:pPr>
        <w:pStyle w:val="Normal"/>
        <w:jc w:val="right"/>
        <w:rPr>
          <w:sz w:val="24"/>
          <w:szCs w:val="24"/>
        </w:rPr>
      </w:pPr>
      <w:r>
        <w:rPr>
          <w:sz w:val="24"/>
          <w:szCs w:val="24"/>
        </w:rPr>
      </w:r>
    </w:p>
    <w:p>
      <w:pPr>
        <w:pStyle w:val="Normal"/>
        <w:jc w:val="right"/>
        <w:rPr>
          <w:sz w:val="24"/>
          <w:szCs w:val="24"/>
        </w:rPr>
      </w:pPr>
      <w:r>
        <w:rPr>
          <w:sz w:val="24"/>
          <w:szCs w:val="24"/>
        </w:rPr>
      </w:r>
    </w:p>
    <w:p>
      <w:pPr>
        <w:pStyle w:val="Normal"/>
        <w:jc w:val="right"/>
        <w:rPr>
          <w:sz w:val="24"/>
          <w:szCs w:val="24"/>
        </w:rPr>
      </w:pPr>
      <w:r>
        <w:rPr>
          <w:sz w:val="24"/>
          <w:szCs w:val="24"/>
        </w:rPr>
      </w:r>
    </w:p>
    <w:p>
      <w:pPr>
        <w:pStyle w:val="Normal"/>
        <w:jc w:val="right"/>
        <w:rPr>
          <w:sz w:val="24"/>
          <w:szCs w:val="24"/>
        </w:rPr>
      </w:pPr>
      <w:r>
        <w:rPr>
          <w:sz w:val="24"/>
          <w:szCs w:val="24"/>
        </w:rPr>
      </w:r>
    </w:p>
    <w:p>
      <w:pPr>
        <w:pStyle w:val="Normal"/>
        <w:jc w:val="right"/>
        <w:rPr>
          <w:sz w:val="24"/>
          <w:szCs w:val="24"/>
        </w:rPr>
      </w:pPr>
      <w:r>
        <w:rPr>
          <w:sz w:val="24"/>
          <w:szCs w:val="24"/>
        </w:rPr>
      </w:r>
    </w:p>
    <w:p>
      <w:pPr>
        <w:pStyle w:val="Normal"/>
        <w:jc w:val="right"/>
        <w:rPr>
          <w:sz w:val="24"/>
          <w:szCs w:val="24"/>
        </w:rPr>
      </w:pPr>
      <w:r>
        <w:rPr>
          <w:sz w:val="24"/>
          <w:szCs w:val="24"/>
        </w:rPr>
      </w:r>
    </w:p>
    <w:p>
      <w:pPr>
        <w:pStyle w:val="Normal"/>
        <w:jc w:val="right"/>
        <w:rPr>
          <w:sz w:val="24"/>
          <w:szCs w:val="24"/>
        </w:rPr>
      </w:pPr>
      <w:r>
        <w:rPr>
          <w:sz w:val="24"/>
          <w:szCs w:val="24"/>
        </w:rPr>
      </w:r>
    </w:p>
    <w:p>
      <w:pPr>
        <w:pStyle w:val="Normal"/>
        <w:jc w:val="right"/>
        <w:rPr>
          <w:sz w:val="24"/>
          <w:szCs w:val="24"/>
        </w:rPr>
      </w:pPr>
      <w:r>
        <w:rPr>
          <w:sz w:val="24"/>
          <w:szCs w:val="24"/>
        </w:rPr>
      </w:r>
    </w:p>
    <w:p>
      <w:pPr>
        <w:pStyle w:val="Normal"/>
        <w:jc w:val="right"/>
        <w:rPr>
          <w:sz w:val="24"/>
          <w:szCs w:val="24"/>
        </w:rPr>
      </w:pPr>
      <w:r>
        <w:rPr>
          <w:sz w:val="24"/>
          <w:szCs w:val="24"/>
        </w:rPr>
      </w:r>
    </w:p>
    <w:p>
      <w:pPr>
        <w:pStyle w:val="Normal"/>
        <w:jc w:val="right"/>
        <w:rPr>
          <w:sz w:val="24"/>
          <w:szCs w:val="24"/>
        </w:rPr>
      </w:pPr>
      <w:r>
        <w:rPr>
          <w:sz w:val="24"/>
          <w:szCs w:val="24"/>
        </w:rPr>
      </w:r>
    </w:p>
    <w:p>
      <w:pPr>
        <w:pStyle w:val="Normal"/>
        <w:jc w:val="right"/>
        <w:rPr>
          <w:sz w:val="24"/>
          <w:szCs w:val="24"/>
        </w:rPr>
      </w:pPr>
      <w:r>
        <w:rPr>
          <w:sz w:val="24"/>
          <w:szCs w:val="24"/>
        </w:rPr>
        <w:t xml:space="preserve">Приложение </w:t>
      </w:r>
    </w:p>
    <w:p>
      <w:pPr>
        <w:pStyle w:val="Normal"/>
        <w:jc w:val="right"/>
        <w:rPr/>
      </w:pPr>
      <w:r>
        <w:rPr>
          <w:sz w:val="24"/>
          <w:szCs w:val="24"/>
        </w:rPr>
        <w:t>к распоряжению Комитета по управлению</w:t>
      </w:r>
    </w:p>
    <w:p>
      <w:pPr>
        <w:pStyle w:val="Normal"/>
        <w:jc w:val="right"/>
        <w:rPr/>
      </w:pPr>
      <w:r>
        <w:rPr>
          <w:sz w:val="24"/>
          <w:szCs w:val="24"/>
        </w:rPr>
        <w:t xml:space="preserve"> </w:t>
      </w:r>
      <w:r>
        <w:rPr>
          <w:sz w:val="24"/>
          <w:szCs w:val="24"/>
        </w:rPr>
        <w:t xml:space="preserve">муниципальным имуществом  </w:t>
      </w:r>
    </w:p>
    <w:p>
      <w:pPr>
        <w:pStyle w:val="Normal"/>
        <w:jc w:val="right"/>
        <w:rPr/>
      </w:pPr>
      <w:r>
        <w:rPr>
          <w:sz w:val="24"/>
          <w:szCs w:val="24"/>
        </w:rPr>
        <w:t>Усть-Илимского муниципального округа</w:t>
      </w:r>
    </w:p>
    <w:p>
      <w:pPr>
        <w:pStyle w:val="Normal"/>
        <w:jc w:val="right"/>
        <w:rPr/>
      </w:pPr>
      <w:r>
        <w:rPr>
          <w:sz w:val="24"/>
          <w:szCs w:val="24"/>
        </w:rPr>
        <w:t xml:space="preserve">от ________.2025 </w:t>
      </w:r>
      <w:r>
        <w:rPr>
          <w:color w:val="000000"/>
          <w:sz w:val="24"/>
          <w:szCs w:val="24"/>
        </w:rPr>
        <w:t>№ _____</w:t>
      </w:r>
    </w:p>
    <w:p>
      <w:pPr>
        <w:pStyle w:val="Normal"/>
        <w:rPr>
          <w:sz w:val="24"/>
          <w:szCs w:val="24"/>
        </w:rPr>
      </w:pPr>
      <w:r>
        <w:rPr>
          <w:sz w:val="24"/>
          <w:szCs w:val="24"/>
        </w:rPr>
      </w:r>
    </w:p>
    <w:p>
      <w:pPr>
        <w:pStyle w:val="ListParagraph"/>
        <w:ind w:left="0" w:hanging="0"/>
        <w:jc w:val="center"/>
        <w:rPr>
          <w:sz w:val="24"/>
          <w:szCs w:val="24"/>
        </w:rPr>
      </w:pPr>
      <w:r>
        <w:rPr>
          <w:sz w:val="24"/>
          <w:szCs w:val="24"/>
        </w:rPr>
        <w:t xml:space="preserve">Доклад </w:t>
      </w:r>
    </w:p>
    <w:p>
      <w:pPr>
        <w:pStyle w:val="ListParagraph"/>
        <w:ind w:left="0" w:hanging="0"/>
        <w:jc w:val="center"/>
        <w:rPr>
          <w:sz w:val="24"/>
          <w:szCs w:val="24"/>
        </w:rPr>
      </w:pPr>
      <w:r>
        <w:rPr>
          <w:sz w:val="24"/>
          <w:szCs w:val="24"/>
        </w:rPr>
        <w:t>о результатах обобщения правоприменительной практики</w:t>
      </w:r>
    </w:p>
    <w:p>
      <w:pPr>
        <w:pStyle w:val="Normal"/>
        <w:spacing w:lineRule="auto" w:line="276"/>
        <w:jc w:val="center"/>
        <w:rPr/>
      </w:pPr>
      <w:r>
        <w:rPr>
          <w:sz w:val="24"/>
          <w:szCs w:val="24"/>
        </w:rPr>
        <w:t>при осуществлении земельного контроля на территории Усть-Илимского муниципального округа за 2024 год</w:t>
      </w:r>
    </w:p>
    <w:p>
      <w:pPr>
        <w:pStyle w:val="Normal"/>
        <w:shd w:val="clear" w:color="auto" w:fill="FFFFFF"/>
        <w:rPr>
          <w:sz w:val="24"/>
          <w:szCs w:val="24"/>
        </w:rPr>
      </w:pPr>
      <w:r>
        <w:rPr>
          <w:sz w:val="24"/>
          <w:szCs w:val="24"/>
        </w:rPr>
      </w:r>
    </w:p>
    <w:p>
      <w:pPr>
        <w:pStyle w:val="Normal"/>
        <w:ind w:firstLine="708"/>
        <w:jc w:val="both"/>
        <w:rPr/>
      </w:pPr>
      <w:r>
        <w:rPr>
          <w:sz w:val="24"/>
          <w:szCs w:val="24"/>
        </w:rPr>
        <w:t>Муниципальный земельный контроль на территории Усть-Илимского муниципального округа осуществляется Комитетом по управлению муниципальным имуществом Усть-Илимского муниципального округа. Функции по организации и проведению плановых и внеплановых проверок, обследованию земельных участков, координации действий должностных лиц в рамках муниципального земельного контроля осуществляет Отдел земельных отношений Комитета по управлению муниципальным  имуществом Усть-Илимского муниципального округа (далее – Отдел земельных отношений).</w:t>
      </w:r>
    </w:p>
    <w:p>
      <w:pPr>
        <w:pStyle w:val="Normal"/>
        <w:ind w:firstLine="708"/>
        <w:jc w:val="both"/>
        <w:rPr/>
      </w:pPr>
      <w:r>
        <w:rPr>
          <w:color w:val="000000"/>
          <w:sz w:val="24"/>
          <w:szCs w:val="24"/>
        </w:rPr>
        <w:t>Согласно Постановления Правительства РФ от 10.03.2022 N 336 "Об особенностях организации и осуществления государственного контроля (надзора), муниципального контроля" в 2024 году не проводятся плановые контрольные (надзорные) мероприятия, плановые проверки при осуществлении видов государственного контроля (надзора), муниципального контроля.</w:t>
      </w:r>
    </w:p>
    <w:p>
      <w:pPr>
        <w:pStyle w:val="Normal"/>
        <w:jc w:val="both"/>
        <w:rPr/>
      </w:pPr>
      <w:r>
        <w:rPr>
          <w:rFonts w:eastAsia="Calibri" w:eastAsiaTheme="minorHAnsi"/>
          <w:color w:val="000000"/>
          <w:sz w:val="24"/>
          <w:szCs w:val="24"/>
          <w:lang w:eastAsia="en-US"/>
        </w:rPr>
        <w:tab/>
      </w:r>
      <w:r>
        <w:rPr>
          <w:rFonts w:eastAsia="Calibri" w:eastAsiaTheme="minorHAnsi"/>
          <w:sz w:val="24"/>
          <w:szCs w:val="24"/>
          <w:lang w:eastAsia="en-US"/>
        </w:rPr>
        <w:t>Обобщение  правоприменительной практики проводится в соответствии со ст. 47 Федерального закона от 31.07.2020 № 248-ФЗ «О государственном контроле (надзоре) и муниципальном контроле в Российской Федерации».</w:t>
      </w:r>
    </w:p>
    <w:p>
      <w:pPr>
        <w:pStyle w:val="Normal"/>
        <w:ind w:firstLine="708"/>
        <w:jc w:val="both"/>
        <w:rPr/>
      </w:pPr>
      <w:r>
        <w:rPr>
          <w:rFonts w:eastAsia="Calibri" w:eastAsiaTheme="minorHAnsi"/>
          <w:sz w:val="24"/>
          <w:szCs w:val="24"/>
          <w:lang w:eastAsia="en-US"/>
        </w:rPr>
        <w:t xml:space="preserve"> </w:t>
      </w:r>
      <w:r>
        <w:rPr>
          <w:rFonts w:eastAsia="Calibri" w:eastAsiaTheme="minorHAnsi"/>
          <w:sz w:val="24"/>
          <w:szCs w:val="24"/>
          <w:lang w:eastAsia="en-US"/>
        </w:rPr>
        <w:t>За   2024 год</w:t>
      </w:r>
      <w:r>
        <w:rPr>
          <w:sz w:val="24"/>
          <w:szCs w:val="24"/>
        </w:rPr>
        <w:t xml:space="preserve"> </w:t>
      </w:r>
      <w:r>
        <w:rPr>
          <w:rFonts w:eastAsia="Calibri" w:eastAsiaTheme="minorHAnsi"/>
          <w:sz w:val="24"/>
          <w:szCs w:val="24"/>
          <w:lang w:eastAsia="en-US"/>
        </w:rPr>
        <w:t xml:space="preserve">Отделом земельных отношений в </w:t>
      </w:r>
      <w:r>
        <w:rPr>
          <w:sz w:val="24"/>
          <w:szCs w:val="24"/>
        </w:rPr>
        <w:t>рамках муниципального земельного контроля осуществлялись следующие мероприятия:</w:t>
      </w:r>
    </w:p>
    <w:tbl>
      <w:tblPr>
        <w:tblStyle w:val="aa"/>
        <w:tblW w:w="9571" w:type="dxa"/>
        <w:jc w:val="left"/>
        <w:tblInd w:w="-25" w:type="dxa"/>
        <w:tblCellMar>
          <w:top w:w="0" w:type="dxa"/>
          <w:left w:w="83" w:type="dxa"/>
          <w:bottom w:w="0" w:type="dxa"/>
          <w:right w:w="108" w:type="dxa"/>
        </w:tblCellMar>
        <w:tblLook w:val="04a0"/>
      </w:tblPr>
      <w:tblGrid>
        <w:gridCol w:w="534"/>
        <w:gridCol w:w="5846"/>
        <w:gridCol w:w="3191"/>
      </w:tblGrid>
      <w:tr>
        <w:trPr/>
        <w:tc>
          <w:tcPr>
            <w:tcW w:w="534" w:type="dxa"/>
            <w:tcBorders/>
            <w:shd w:color="auto" w:fill="auto" w:val="clear"/>
            <w:tcMar>
              <w:left w:w="83" w:type="dxa"/>
            </w:tcMar>
          </w:tcPr>
          <w:p>
            <w:pPr>
              <w:pStyle w:val="Normal"/>
              <w:jc w:val="both"/>
              <w:rPr>
                <w:sz w:val="24"/>
                <w:szCs w:val="24"/>
              </w:rPr>
            </w:pPr>
            <w:r>
              <w:rPr>
                <w:sz w:val="24"/>
                <w:szCs w:val="24"/>
              </w:rPr>
              <w:t>№</w:t>
            </w:r>
          </w:p>
        </w:tc>
        <w:tc>
          <w:tcPr>
            <w:tcW w:w="5846" w:type="dxa"/>
            <w:tcBorders/>
            <w:shd w:color="auto" w:fill="auto" w:val="clear"/>
            <w:tcMar>
              <w:left w:w="83" w:type="dxa"/>
            </w:tcMar>
          </w:tcPr>
          <w:p>
            <w:pPr>
              <w:pStyle w:val="Normal"/>
              <w:jc w:val="both"/>
              <w:rPr>
                <w:sz w:val="24"/>
                <w:szCs w:val="24"/>
              </w:rPr>
            </w:pPr>
            <w:r>
              <w:rPr>
                <w:sz w:val="24"/>
                <w:szCs w:val="24"/>
              </w:rPr>
              <w:t>Показатель</w:t>
            </w:r>
          </w:p>
        </w:tc>
        <w:tc>
          <w:tcPr>
            <w:tcW w:w="3191" w:type="dxa"/>
            <w:tcBorders/>
            <w:shd w:color="auto" w:fill="auto" w:val="clear"/>
            <w:tcMar>
              <w:left w:w="83" w:type="dxa"/>
            </w:tcMar>
          </w:tcPr>
          <w:p>
            <w:pPr>
              <w:pStyle w:val="Normal"/>
              <w:jc w:val="both"/>
              <w:rPr>
                <w:sz w:val="24"/>
                <w:szCs w:val="24"/>
              </w:rPr>
            </w:pPr>
            <w:r>
              <w:rPr>
                <w:sz w:val="24"/>
                <w:szCs w:val="24"/>
              </w:rPr>
              <w:t>Количество  шт.</w:t>
            </w:r>
          </w:p>
        </w:tc>
      </w:tr>
      <w:tr>
        <w:trPr/>
        <w:tc>
          <w:tcPr>
            <w:tcW w:w="534" w:type="dxa"/>
            <w:tcBorders/>
            <w:shd w:color="auto" w:fill="auto" w:val="clear"/>
            <w:tcMar>
              <w:left w:w="83" w:type="dxa"/>
            </w:tcMar>
          </w:tcPr>
          <w:p>
            <w:pPr>
              <w:pStyle w:val="Normal"/>
              <w:jc w:val="both"/>
              <w:rPr>
                <w:sz w:val="24"/>
                <w:szCs w:val="24"/>
              </w:rPr>
            </w:pPr>
            <w:r>
              <w:rPr>
                <w:sz w:val="24"/>
                <w:szCs w:val="24"/>
              </w:rPr>
              <w:t>1</w:t>
            </w:r>
          </w:p>
        </w:tc>
        <w:tc>
          <w:tcPr>
            <w:tcW w:w="5846" w:type="dxa"/>
            <w:tcBorders/>
            <w:shd w:color="auto" w:fill="auto" w:val="clear"/>
            <w:tcMar>
              <w:left w:w="83" w:type="dxa"/>
            </w:tcMar>
          </w:tcPr>
          <w:p>
            <w:pPr>
              <w:pStyle w:val="Normal"/>
              <w:jc w:val="both"/>
              <w:rPr>
                <w:sz w:val="24"/>
                <w:szCs w:val="24"/>
              </w:rPr>
            </w:pPr>
            <w:r>
              <w:rPr>
                <w:sz w:val="24"/>
                <w:szCs w:val="24"/>
              </w:rPr>
              <w:t xml:space="preserve">Количество плановых проверок, </w:t>
            </w:r>
            <w:bookmarkStart w:id="0" w:name="_GoBack"/>
            <w:bookmarkEnd w:id="0"/>
            <w:r>
              <w:rPr>
                <w:sz w:val="24"/>
                <w:szCs w:val="24"/>
              </w:rPr>
              <w:t>в отношении физических лиц</w:t>
            </w:r>
          </w:p>
        </w:tc>
        <w:tc>
          <w:tcPr>
            <w:tcW w:w="3191" w:type="dxa"/>
            <w:tcBorders/>
            <w:shd w:color="auto" w:fill="auto" w:val="clear"/>
            <w:tcMar>
              <w:left w:w="83" w:type="dxa"/>
            </w:tcMar>
          </w:tcPr>
          <w:p>
            <w:pPr>
              <w:pStyle w:val="Normal"/>
              <w:jc w:val="both"/>
              <w:rPr/>
            </w:pPr>
            <w:r>
              <w:rPr>
                <w:sz w:val="24"/>
                <w:szCs w:val="24"/>
              </w:rPr>
              <w:t>0</w:t>
            </w:r>
          </w:p>
        </w:tc>
      </w:tr>
      <w:tr>
        <w:trPr/>
        <w:tc>
          <w:tcPr>
            <w:tcW w:w="534" w:type="dxa"/>
            <w:tcBorders/>
            <w:shd w:color="auto" w:fill="auto" w:val="clear"/>
            <w:tcMar>
              <w:left w:w="83" w:type="dxa"/>
            </w:tcMar>
          </w:tcPr>
          <w:p>
            <w:pPr>
              <w:pStyle w:val="Normal"/>
              <w:jc w:val="both"/>
              <w:rPr>
                <w:sz w:val="24"/>
                <w:szCs w:val="24"/>
              </w:rPr>
            </w:pPr>
            <w:r>
              <w:rPr>
                <w:sz w:val="24"/>
                <w:szCs w:val="24"/>
              </w:rPr>
              <w:t>2</w:t>
            </w:r>
          </w:p>
        </w:tc>
        <w:tc>
          <w:tcPr>
            <w:tcW w:w="5846" w:type="dxa"/>
            <w:tcBorders/>
            <w:shd w:color="auto" w:fill="auto" w:val="clear"/>
            <w:tcMar>
              <w:left w:w="83" w:type="dxa"/>
            </w:tcMar>
          </w:tcPr>
          <w:p>
            <w:pPr>
              <w:pStyle w:val="Normal"/>
              <w:jc w:val="both"/>
              <w:rPr>
                <w:sz w:val="24"/>
                <w:szCs w:val="24"/>
              </w:rPr>
            </w:pPr>
            <w:r>
              <w:rPr>
                <w:sz w:val="24"/>
                <w:szCs w:val="24"/>
              </w:rPr>
              <w:t xml:space="preserve">Количество </w:t>
            </w:r>
            <w:bookmarkStart w:id="1" w:name="__DdeLink__1875_1936220235"/>
            <w:r>
              <w:rPr>
                <w:sz w:val="24"/>
                <w:szCs w:val="24"/>
              </w:rPr>
              <w:t>внеплановых проверок,</w:t>
            </w:r>
            <w:bookmarkEnd w:id="1"/>
            <w:r>
              <w:rPr>
                <w:sz w:val="24"/>
                <w:szCs w:val="24"/>
              </w:rPr>
              <w:t xml:space="preserve"> в </w:t>
            </w:r>
            <w:r>
              <w:rPr>
                <w:color w:val="000000"/>
                <w:sz w:val="24"/>
                <w:szCs w:val="24"/>
              </w:rPr>
              <w:t>отношении физических лиц</w:t>
            </w:r>
          </w:p>
        </w:tc>
        <w:tc>
          <w:tcPr>
            <w:tcW w:w="3191" w:type="dxa"/>
            <w:tcBorders/>
            <w:shd w:color="auto" w:fill="auto" w:val="clear"/>
            <w:tcMar>
              <w:left w:w="83" w:type="dxa"/>
            </w:tcMar>
          </w:tcPr>
          <w:p>
            <w:pPr>
              <w:pStyle w:val="Normal"/>
              <w:jc w:val="both"/>
              <w:rPr/>
            </w:pPr>
            <w:r>
              <w:rPr>
                <w:color w:val="000000"/>
                <w:sz w:val="24"/>
                <w:szCs w:val="24"/>
              </w:rPr>
              <w:t>30</w:t>
            </w:r>
          </w:p>
        </w:tc>
      </w:tr>
      <w:tr>
        <w:trPr/>
        <w:tc>
          <w:tcPr>
            <w:tcW w:w="534" w:type="dxa"/>
            <w:tcBorders/>
            <w:shd w:color="auto" w:fill="auto" w:val="clear"/>
            <w:tcMar>
              <w:left w:w="83" w:type="dxa"/>
            </w:tcMar>
          </w:tcPr>
          <w:p>
            <w:pPr>
              <w:pStyle w:val="Normal"/>
              <w:jc w:val="both"/>
              <w:rPr>
                <w:sz w:val="24"/>
                <w:szCs w:val="24"/>
              </w:rPr>
            </w:pPr>
            <w:r>
              <w:rPr>
                <w:sz w:val="24"/>
                <w:szCs w:val="24"/>
              </w:rPr>
              <w:t>3</w:t>
            </w:r>
          </w:p>
        </w:tc>
        <w:tc>
          <w:tcPr>
            <w:tcW w:w="5846" w:type="dxa"/>
            <w:tcBorders/>
            <w:shd w:color="auto" w:fill="auto" w:val="clear"/>
            <w:tcMar>
              <w:left w:w="83" w:type="dxa"/>
            </w:tcMar>
          </w:tcPr>
          <w:p>
            <w:pPr>
              <w:pStyle w:val="Normal"/>
              <w:jc w:val="both"/>
              <w:rPr>
                <w:sz w:val="24"/>
                <w:szCs w:val="24"/>
              </w:rPr>
            </w:pPr>
            <w:r>
              <w:rPr>
                <w:sz w:val="24"/>
                <w:szCs w:val="24"/>
              </w:rPr>
              <w:t>Количество плановых проверок (в отношении юридических лиц и индивидуальных предпринимателей)</w:t>
            </w:r>
          </w:p>
        </w:tc>
        <w:tc>
          <w:tcPr>
            <w:tcW w:w="3191" w:type="dxa"/>
            <w:tcBorders/>
            <w:shd w:color="auto" w:fill="auto" w:val="clear"/>
            <w:tcMar>
              <w:left w:w="83" w:type="dxa"/>
            </w:tcMar>
          </w:tcPr>
          <w:p>
            <w:pPr>
              <w:pStyle w:val="Normal"/>
              <w:jc w:val="both"/>
              <w:rPr/>
            </w:pPr>
            <w:r>
              <w:rPr>
                <w:sz w:val="24"/>
                <w:szCs w:val="24"/>
              </w:rPr>
              <w:t>0</w:t>
            </w:r>
          </w:p>
        </w:tc>
      </w:tr>
      <w:tr>
        <w:trPr/>
        <w:tc>
          <w:tcPr>
            <w:tcW w:w="534" w:type="dxa"/>
            <w:tcBorders/>
            <w:shd w:color="auto" w:fill="auto" w:val="clear"/>
            <w:tcMar>
              <w:left w:w="83" w:type="dxa"/>
            </w:tcMar>
          </w:tcPr>
          <w:p>
            <w:pPr>
              <w:pStyle w:val="Normal"/>
              <w:jc w:val="both"/>
              <w:rPr>
                <w:sz w:val="24"/>
                <w:szCs w:val="24"/>
              </w:rPr>
            </w:pPr>
            <w:r>
              <w:rPr>
                <w:sz w:val="24"/>
                <w:szCs w:val="24"/>
              </w:rPr>
              <w:t>4</w:t>
            </w:r>
          </w:p>
        </w:tc>
        <w:tc>
          <w:tcPr>
            <w:tcW w:w="5846" w:type="dxa"/>
            <w:tcBorders/>
            <w:shd w:color="auto" w:fill="auto" w:val="clear"/>
            <w:tcMar>
              <w:left w:w="83" w:type="dxa"/>
            </w:tcMar>
          </w:tcPr>
          <w:p>
            <w:pPr>
              <w:pStyle w:val="Normal"/>
              <w:jc w:val="both"/>
              <w:rPr/>
            </w:pPr>
            <w:r>
              <w:rPr>
                <w:sz w:val="24"/>
                <w:szCs w:val="24"/>
              </w:rPr>
              <w:t>Общее количество выявленных нарушений при проведении мероприятий по осуществлению муниципального земельного контроля</w:t>
            </w:r>
          </w:p>
        </w:tc>
        <w:tc>
          <w:tcPr>
            <w:tcW w:w="3191" w:type="dxa"/>
            <w:tcBorders/>
            <w:shd w:color="auto" w:fill="auto" w:val="clear"/>
            <w:tcMar>
              <w:left w:w="83" w:type="dxa"/>
            </w:tcMar>
          </w:tcPr>
          <w:p>
            <w:pPr>
              <w:pStyle w:val="Normal"/>
              <w:jc w:val="both"/>
              <w:rPr/>
            </w:pPr>
            <w:r>
              <w:rPr>
                <w:sz w:val="24"/>
                <w:szCs w:val="24"/>
              </w:rPr>
              <w:t>3</w:t>
            </w:r>
          </w:p>
        </w:tc>
      </w:tr>
      <w:tr>
        <w:trPr/>
        <w:tc>
          <w:tcPr>
            <w:tcW w:w="534" w:type="dxa"/>
            <w:tcBorders/>
            <w:shd w:color="auto" w:fill="auto" w:val="clear"/>
            <w:tcMar>
              <w:left w:w="83" w:type="dxa"/>
            </w:tcMar>
          </w:tcPr>
          <w:p>
            <w:pPr>
              <w:pStyle w:val="Normal"/>
              <w:jc w:val="both"/>
              <w:rPr>
                <w:sz w:val="24"/>
                <w:szCs w:val="24"/>
              </w:rPr>
            </w:pPr>
            <w:r>
              <w:rPr>
                <w:sz w:val="24"/>
                <w:szCs w:val="24"/>
              </w:rPr>
              <w:t>5</w:t>
            </w:r>
          </w:p>
        </w:tc>
        <w:tc>
          <w:tcPr>
            <w:tcW w:w="5846" w:type="dxa"/>
            <w:tcBorders/>
            <w:shd w:color="auto" w:fill="auto" w:val="clear"/>
            <w:tcMar>
              <w:left w:w="83" w:type="dxa"/>
            </w:tcMar>
          </w:tcPr>
          <w:p>
            <w:pPr>
              <w:pStyle w:val="Normal"/>
              <w:jc w:val="both"/>
              <w:rPr>
                <w:sz w:val="24"/>
                <w:szCs w:val="24"/>
              </w:rPr>
            </w:pPr>
            <w:r>
              <w:rPr>
                <w:sz w:val="24"/>
                <w:szCs w:val="24"/>
              </w:rPr>
              <w:t>Общая площадь, проверенных земельных участков, кв.м</w:t>
            </w:r>
          </w:p>
        </w:tc>
        <w:tc>
          <w:tcPr>
            <w:tcW w:w="3191" w:type="dxa"/>
            <w:tcBorders/>
            <w:shd w:color="auto" w:fill="auto" w:val="clear"/>
            <w:tcMar>
              <w:left w:w="83" w:type="dxa"/>
            </w:tcMar>
          </w:tcPr>
          <w:p>
            <w:pPr>
              <w:pStyle w:val="Normal"/>
              <w:jc w:val="both"/>
              <w:rPr/>
            </w:pPr>
            <w:r>
              <w:rPr>
                <w:color w:val="000000"/>
                <w:sz w:val="24"/>
                <w:szCs w:val="24"/>
              </w:rPr>
              <w:t>57 081 836 кв.м</w:t>
            </w:r>
          </w:p>
        </w:tc>
      </w:tr>
    </w:tbl>
    <w:p>
      <w:pPr>
        <w:pStyle w:val="Normal"/>
        <w:jc w:val="both"/>
        <w:rPr>
          <w:sz w:val="24"/>
          <w:szCs w:val="24"/>
        </w:rPr>
      </w:pPr>
      <w:r>
        <w:rPr>
          <w:sz w:val="24"/>
          <w:szCs w:val="24"/>
        </w:rPr>
      </w:r>
    </w:p>
    <w:p>
      <w:pPr>
        <w:pStyle w:val="Normal"/>
        <w:ind w:firstLine="708"/>
        <w:jc w:val="both"/>
        <w:rPr/>
      </w:pPr>
      <w:r>
        <w:rPr>
          <w:color w:val="000000"/>
          <w:sz w:val="24"/>
          <w:szCs w:val="24"/>
        </w:rPr>
        <w:t>Анализ правоприменительной практики показывает, что наибольшее количество правонарушений связано с не целевым использованием земельного участка,  а также</w:t>
      </w:r>
      <w:r>
        <w:rPr>
          <w:sz w:val="24"/>
          <w:szCs w:val="24"/>
        </w:rPr>
        <w:t xml:space="preserve"> самовольным занятие земельного участка или части земельного участка, в том числе использование земельного участка лицом, не имеющим предусмотренных законодательством Российской Федерации прав на указанный земельный участок (ст. 25,26 Земельного кодекса РФ).</w:t>
      </w:r>
    </w:p>
    <w:p>
      <w:pPr>
        <w:pStyle w:val="Normal"/>
        <w:ind w:firstLine="708"/>
        <w:jc w:val="both"/>
        <w:rPr>
          <w:sz w:val="24"/>
          <w:szCs w:val="24"/>
        </w:rPr>
      </w:pPr>
      <w:r>
        <w:rPr>
          <w:sz w:val="24"/>
          <w:szCs w:val="24"/>
        </w:rPr>
        <w:t>Согласно ст. 7.1. «Кодекса Российской Федерации об административных правонарушениях» от 30.12.2001 № 195-ФЗ за данное нарушение предусмотрено административное наказание:</w:t>
      </w:r>
    </w:p>
    <w:p>
      <w:pPr>
        <w:pStyle w:val="Normal"/>
        <w:ind w:firstLine="708"/>
        <w:jc w:val="both"/>
        <w:rPr>
          <w:sz w:val="24"/>
          <w:szCs w:val="24"/>
        </w:rPr>
      </w:pPr>
      <w:r>
        <w:rPr>
          <w:sz w:val="24"/>
          <w:szCs w:val="24"/>
        </w:rPr>
        <w:t>- наложение административного штрафа в случае, если определена кадастровая стоимость земельного участка, на граждан в размере от 1 до 1,5 процента кадастровой стоимости земельного участка, но не менее пяти тысяч рублей; на должностных лиц - от 1,5 до 2 процентов кадастровой стоимости земельного участка, но не менее двадцати тысяч рублей; на юридических лиц - от 2 до 3 процентов кадастровой стоимости земельного участка, но не менее ста тысяч рублей, а в случае, если не определена кадастровая стоимость земельного участка, на граждан в размере от пяти тысяч до десяти тысяч рублей; на должностных лиц - от двадцати тысяч до пятидесяти тысяч рублей; на юридических лиц - от ста тысяч до двухсот тысяч рублей.</w:t>
      </w:r>
    </w:p>
    <w:p>
      <w:pPr>
        <w:pStyle w:val="Normal"/>
        <w:jc w:val="both"/>
        <w:rPr>
          <w:sz w:val="24"/>
          <w:szCs w:val="24"/>
        </w:rPr>
      </w:pPr>
      <w:r>
        <w:rPr>
          <w:sz w:val="24"/>
          <w:szCs w:val="24"/>
        </w:rPr>
        <w:t>Примечания:</w:t>
      </w:r>
    </w:p>
    <w:p>
      <w:pPr>
        <w:pStyle w:val="Normal"/>
        <w:ind w:firstLine="708"/>
        <w:jc w:val="both"/>
        <w:rPr>
          <w:sz w:val="24"/>
          <w:szCs w:val="24"/>
        </w:rPr>
      </w:pPr>
      <w:r>
        <w:rPr>
          <w:sz w:val="24"/>
          <w:szCs w:val="24"/>
        </w:rPr>
        <w:t>1. За административные правонарушения, предусмотренные настоящей статьей, лица, осуществляющие предпринимательскую деятельность без образования юридического лица, несут административную ответственность как юридические лица.</w:t>
      </w:r>
    </w:p>
    <w:p>
      <w:pPr>
        <w:pStyle w:val="Normal"/>
        <w:ind w:firstLine="708"/>
        <w:jc w:val="both"/>
        <w:rPr/>
      </w:pPr>
      <w:r>
        <w:rPr>
          <w:sz w:val="24"/>
          <w:szCs w:val="24"/>
        </w:rPr>
        <w:t>2. В случае самовольного занятия части земельного участка административный штраф, рассчитываемый из размера кадастровой стоимости земельного участка, исчисляется пропорционально площади самовольно занятой части земельного участка. Данное нарушение земельного законодательства является наиболее распространенным при осуществлении земельного контроля. Основными нарушителями являются граждане, использующие  земли для индивидуального жилищного строительства и/или ведения личного подсобного хозяйства.</w:t>
      </w:r>
    </w:p>
    <w:p>
      <w:pPr>
        <w:pStyle w:val="Normal"/>
        <w:ind w:firstLine="708"/>
        <w:jc w:val="both"/>
        <w:rPr/>
      </w:pPr>
      <w:r>
        <w:rPr>
          <w:sz w:val="24"/>
          <w:szCs w:val="24"/>
        </w:rPr>
        <w:t>Согласно ст. 8.8. «Кодекса Российской Федерации об административных правонарушениях» от 30.12.2001 № 195-ФЗ за данное нарушение предусмотрено административное наказание:</w:t>
      </w:r>
    </w:p>
    <w:p>
      <w:pPr>
        <w:pStyle w:val="Normal"/>
        <w:ind w:firstLine="708"/>
        <w:jc w:val="both"/>
        <w:rPr>
          <w:sz w:val="24"/>
          <w:szCs w:val="24"/>
        </w:rPr>
      </w:pPr>
      <w:r>
        <w:rPr>
          <w:sz w:val="24"/>
          <w:szCs w:val="24"/>
        </w:rPr>
        <w:t xml:space="preserve">- </w:t>
      </w:r>
      <w:r>
        <w:rPr>
          <w:b w:val="false"/>
          <w:i w:val="false"/>
          <w:caps w:val="false"/>
          <w:smallCaps w:val="false"/>
          <w:color w:val="000000"/>
          <w:spacing w:val="0"/>
          <w:sz w:val="24"/>
          <w:szCs w:val="24"/>
        </w:rPr>
        <w:t>влечет наложение административного штрафа в случае, если определена кадастровая стоимость земельного участка, на граждан в размере от 0,5 до 1 процента кадастровой стоимости земельного участка, но не менее десяти тысяч рублей; на должностных лиц - от 1 до 1,5 процента кадастровой стоимости земельного участка, но не менее двадцати тысяч рублей; на юридических лиц - от 1,5 до 2 процентов кадастровой стоимости земельного участка, но не менее ста тысяч рублей, а в случае, если не определена кадастровая стоимость земельного участка, на граждан в размере от десяти тысяч до двадцати тысяч рублей; на должностных лиц - от двадцати тысяч до пятидесяти тысяч рублей; на юридических лиц - от ста тысяч до двухсот тысяч рублей.</w:t>
      </w:r>
      <w:r>
        <w:rPr>
          <w:sz w:val="24"/>
          <w:szCs w:val="24"/>
        </w:rPr>
        <w:t xml:space="preserve"> </w:t>
      </w:r>
    </w:p>
    <w:p>
      <w:pPr>
        <w:pStyle w:val="Normal"/>
        <w:shd w:val="clear" w:color="auto" w:fill="FFFFFF"/>
        <w:ind w:firstLine="708"/>
        <w:jc w:val="both"/>
        <w:rPr>
          <w:sz w:val="24"/>
          <w:szCs w:val="24"/>
        </w:rPr>
      </w:pPr>
      <w:r>
        <w:rPr>
          <w:sz w:val="24"/>
          <w:szCs w:val="24"/>
        </w:rPr>
        <w:t>Основными проблемами, нарушений требований земельного законодательства Российской Федерации, выявляемых Отделом земельных отношений, является - низкие знания правообладателей земельных участков, предъявляемых к ним земельным законодательством Российской Федерации о порядке, способах и ограничениях использования земельных участков.</w:t>
      </w:r>
    </w:p>
    <w:p>
      <w:pPr>
        <w:pStyle w:val="Normal"/>
        <w:ind w:firstLine="709"/>
        <w:jc w:val="both"/>
        <w:rPr/>
      </w:pPr>
      <w:r>
        <w:rPr>
          <w:sz w:val="24"/>
          <w:szCs w:val="24"/>
        </w:rPr>
        <w:t>Решением данной проблемы является активное проведение должностными лицами Отдела  земельных отношений профилактических мероприятий по вопросам соблюдения обязательных требований и разъяснений по вопросам, связанным с организацией и осуществлением муниципального земельного контроля, а также размещение информации на сайте Усть-Илимского муниципального округа в сети «Интернет».</w:t>
      </w:r>
    </w:p>
    <w:p>
      <w:pPr>
        <w:pStyle w:val="Normal"/>
        <w:ind w:firstLine="709"/>
        <w:jc w:val="both"/>
        <w:rPr>
          <w:sz w:val="24"/>
          <w:szCs w:val="24"/>
        </w:rPr>
      </w:pPr>
      <w:r>
        <w:rPr>
          <w:sz w:val="24"/>
          <w:szCs w:val="24"/>
        </w:rPr>
        <w:t>Отдел  земельных отношений для недопущения вышеуказанного нарушения рекомендует своевременно оформлять правоустанавливающие документы на земельные участки, а также самостоятельно произвести соотнесение границ своего земельного участка с фактически оформленными границами.</w:t>
      </w:r>
    </w:p>
    <w:p>
      <w:pPr>
        <w:pStyle w:val="Normal"/>
        <w:ind w:firstLine="708"/>
        <w:jc w:val="both"/>
        <w:rPr/>
      </w:pPr>
      <w:r>
        <w:rPr>
          <w:sz w:val="24"/>
          <w:szCs w:val="24"/>
        </w:rPr>
        <w:t>С информацией о границах земельных участков можно ознакомиться с помощью публичной кадастровой карты в сети «Интернет» (адрес сайта:</w:t>
      </w:r>
      <w:hyperlink r:id="rId2">
        <w:r>
          <w:rPr>
            <w:rStyle w:val="Style14"/>
            <w:sz w:val="24"/>
            <w:szCs w:val="24"/>
          </w:rPr>
          <w:t>http://pkk5.ro</w:t>
        </w:r>
        <w:r>
          <w:rPr>
            <w:rStyle w:val="Style14"/>
            <w:sz w:val="24"/>
            <w:szCs w:val="24"/>
            <w:lang w:val="en-US"/>
          </w:rPr>
          <w:t>s</w:t>
        </w:r>
        <w:r>
          <w:rPr>
            <w:rStyle w:val="Style14"/>
            <w:sz w:val="24"/>
            <w:szCs w:val="24"/>
          </w:rPr>
          <w:t>reestr.ru</w:t>
        </w:r>
      </w:hyperlink>
      <w:r>
        <w:rPr>
          <w:sz w:val="24"/>
          <w:szCs w:val="24"/>
        </w:rPr>
        <w:t>).</w:t>
      </w:r>
    </w:p>
    <w:p>
      <w:pPr>
        <w:pStyle w:val="Normal"/>
        <w:ind w:firstLine="709"/>
        <w:jc w:val="both"/>
        <w:rPr>
          <w:sz w:val="24"/>
          <w:szCs w:val="24"/>
        </w:rPr>
      </w:pPr>
      <w:r>
        <w:rPr>
          <w:sz w:val="24"/>
          <w:szCs w:val="24"/>
        </w:rPr>
      </w:r>
    </w:p>
    <w:p>
      <w:pPr>
        <w:pStyle w:val="Normal"/>
        <w:shd w:val="clear" w:color="auto" w:fill="FFFFFF"/>
        <w:ind w:firstLine="708"/>
        <w:jc w:val="both"/>
        <w:rPr>
          <w:color w:val="000000"/>
          <w:sz w:val="24"/>
          <w:szCs w:val="24"/>
        </w:rPr>
      </w:pPr>
      <w:r>
        <w:rPr>
          <w:rFonts w:eastAsia="Calibri" w:eastAsiaTheme="minorHAnsi"/>
          <w:sz w:val="24"/>
          <w:szCs w:val="24"/>
          <w:lang w:eastAsia="en-US"/>
        </w:rPr>
        <w:t xml:space="preserve">Федеральным законом от 31.07.2020 № 248-ФЗ «О государственном контроле (надзоре) и муниципальном контроле в Российской Федерации» </w:t>
      </w:r>
      <w:r>
        <w:rPr>
          <w:color w:val="000000"/>
          <w:sz w:val="24"/>
          <w:szCs w:val="24"/>
        </w:rPr>
        <w:t>чётко предписывается обязательность по проведению мероприятий по профилактики нарушений обязательных требований в сфере земельных отношений.</w:t>
      </w:r>
    </w:p>
    <w:p>
      <w:pPr>
        <w:pStyle w:val="Normal"/>
        <w:ind w:firstLine="709"/>
        <w:jc w:val="both"/>
        <w:rPr/>
      </w:pPr>
      <w:r>
        <w:rPr>
          <w:sz w:val="24"/>
          <w:szCs w:val="24"/>
        </w:rPr>
        <w:t>В рамках развития и осуществления профилактической деятельности на территории Усть-Илимского муниципального округа Отделом земельных отношений в 2024 году:</w:t>
      </w:r>
    </w:p>
    <w:p>
      <w:pPr>
        <w:pStyle w:val="ListParagraph"/>
        <w:numPr>
          <w:ilvl w:val="0"/>
          <w:numId w:val="3"/>
        </w:numPr>
        <w:suppressAutoHyphens w:val="true"/>
        <w:ind w:left="0" w:firstLine="774"/>
        <w:jc w:val="both"/>
        <w:rPr/>
      </w:pPr>
      <w:r>
        <w:rPr>
          <w:sz w:val="24"/>
          <w:szCs w:val="24"/>
        </w:rPr>
        <w:t xml:space="preserve">Поддерживались в актуальном состоянии и размещались на официальном сайте </w:t>
      </w:r>
      <w:r>
        <w:rPr>
          <w:bCs/>
          <w:sz w:val="24"/>
          <w:szCs w:val="24"/>
        </w:rPr>
        <w:t xml:space="preserve"> </w:t>
      </w:r>
      <w:r>
        <w:rPr>
          <w:sz w:val="24"/>
          <w:szCs w:val="24"/>
        </w:rPr>
        <w:t>Администрации Усть-Илимского муниципального округа в информационно-телекоммуникационной сети «Интернет» (далее - официальный сайт) перечни нормативных правовых актов, содержащих обязательные требования, требования, установленные муниципальными правовыми актами, соблюдение которых оценивается при проведении мероприятий по контролю при осуществлении муниципального земельного контроля, а также тексты соответствующих нормативных правовых актов.</w:t>
      </w:r>
    </w:p>
    <w:p>
      <w:pPr>
        <w:pStyle w:val="ListParagraph"/>
        <w:numPr>
          <w:ilvl w:val="0"/>
          <w:numId w:val="3"/>
        </w:numPr>
        <w:suppressAutoHyphens w:val="true"/>
        <w:ind w:left="0" w:firstLine="709"/>
        <w:jc w:val="both"/>
        <w:rPr>
          <w:sz w:val="24"/>
          <w:szCs w:val="24"/>
        </w:rPr>
      </w:pPr>
      <w:r>
        <w:rPr>
          <w:sz w:val="24"/>
          <w:szCs w:val="24"/>
        </w:rPr>
        <w:t>Поддерживались в актуальном состоянии и размещались на официальном сайте перечни обязательных требований, требований, установленных муниципальными правовыми актами, соблюдение которых оценивается при проведении мероприятий  при осуществлении муниципального земельного контроля.</w:t>
      </w:r>
    </w:p>
    <w:p>
      <w:pPr>
        <w:pStyle w:val="ListParagraph"/>
        <w:numPr>
          <w:ilvl w:val="0"/>
          <w:numId w:val="3"/>
        </w:numPr>
        <w:shd w:val="clear" w:color="auto" w:fill="FFFFFF"/>
        <w:suppressAutoHyphens w:val="true"/>
        <w:ind w:left="0" w:firstLine="720"/>
        <w:jc w:val="both"/>
        <w:rPr>
          <w:sz w:val="24"/>
          <w:szCs w:val="24"/>
        </w:rPr>
      </w:pPr>
      <w:r>
        <w:rPr>
          <w:sz w:val="24"/>
          <w:szCs w:val="24"/>
        </w:rPr>
        <w:t>Осуществлялось консультирование по вопросам соблюдения обязательных требований, требований, установленных муниципальными правовыми актами.</w:t>
      </w:r>
    </w:p>
    <w:p>
      <w:pPr>
        <w:pStyle w:val="Normal"/>
        <w:shd w:val="clear" w:color="auto" w:fill="FFFFFF"/>
        <w:ind w:firstLine="720"/>
        <w:jc w:val="both"/>
        <w:rPr>
          <w:sz w:val="24"/>
          <w:szCs w:val="24"/>
        </w:rPr>
      </w:pPr>
      <w:r>
        <w:rPr>
          <w:sz w:val="24"/>
          <w:szCs w:val="24"/>
        </w:rPr>
        <w:t>4.      Согласно утвержденной программы «Профилактики рисков причинения вреда (ущерба) охраняемым законом ценностям по муниципальному земельному контролю» проведены профилактические мероприятия (визиты), в ходе которых разъяснялись обязательные требования земельного законодательства.</w:t>
      </w:r>
    </w:p>
    <w:p>
      <w:pPr>
        <w:pStyle w:val="Normal"/>
        <w:shd w:val="clear" w:color="auto" w:fill="FFFFFF"/>
        <w:ind w:firstLine="720"/>
        <w:jc w:val="both"/>
        <w:rPr>
          <w:sz w:val="24"/>
          <w:szCs w:val="24"/>
        </w:rPr>
      </w:pPr>
      <w:r>
        <w:rPr>
          <w:sz w:val="24"/>
          <w:szCs w:val="24"/>
        </w:rPr>
      </w:r>
    </w:p>
    <w:p>
      <w:pPr>
        <w:pStyle w:val="Normal"/>
        <w:shd w:val="clear" w:color="auto" w:fill="FFFFFF"/>
        <w:ind w:firstLine="720"/>
        <w:jc w:val="both"/>
        <w:rPr>
          <w:sz w:val="24"/>
          <w:szCs w:val="24"/>
        </w:rPr>
      </w:pPr>
      <w:r>
        <w:rPr>
          <w:sz w:val="24"/>
          <w:szCs w:val="24"/>
        </w:rPr>
      </w:r>
    </w:p>
    <w:p>
      <w:pPr>
        <w:pStyle w:val="Normal"/>
        <w:shd w:val="clear" w:color="auto" w:fill="FFFFFF"/>
        <w:ind w:firstLine="720"/>
        <w:jc w:val="both"/>
        <w:rPr>
          <w:sz w:val="24"/>
          <w:szCs w:val="24"/>
        </w:rPr>
      </w:pPr>
      <w:r>
        <w:rPr>
          <w:sz w:val="24"/>
          <w:szCs w:val="24"/>
        </w:rPr>
      </w:r>
    </w:p>
    <w:p>
      <w:pPr>
        <w:pStyle w:val="Normal"/>
        <w:shd w:val="clear" w:color="auto" w:fill="FFFFFF"/>
        <w:ind w:firstLine="720"/>
        <w:jc w:val="both"/>
        <w:rPr>
          <w:sz w:val="24"/>
          <w:szCs w:val="24"/>
        </w:rPr>
      </w:pPr>
      <w:r>
        <w:rPr>
          <w:sz w:val="24"/>
          <w:szCs w:val="24"/>
        </w:rPr>
      </w:r>
    </w:p>
    <w:p>
      <w:pPr>
        <w:pStyle w:val="Normal"/>
        <w:shd w:val="clear" w:color="auto" w:fill="FFFFFF"/>
        <w:ind w:firstLine="720"/>
        <w:jc w:val="both"/>
        <w:rPr>
          <w:sz w:val="24"/>
          <w:szCs w:val="24"/>
        </w:rPr>
      </w:pPr>
      <w:r>
        <w:rPr>
          <w:sz w:val="24"/>
          <w:szCs w:val="24"/>
        </w:rPr>
      </w:r>
    </w:p>
    <w:p>
      <w:pPr>
        <w:pStyle w:val="Normal"/>
        <w:shd w:val="clear" w:color="auto" w:fill="FFFFFF"/>
        <w:ind w:firstLine="720"/>
        <w:jc w:val="both"/>
        <w:rPr>
          <w:sz w:val="24"/>
          <w:szCs w:val="24"/>
        </w:rPr>
      </w:pPr>
      <w:r>
        <w:rPr>
          <w:sz w:val="24"/>
          <w:szCs w:val="24"/>
        </w:rPr>
      </w:r>
    </w:p>
    <w:p>
      <w:pPr>
        <w:pStyle w:val="Normal"/>
        <w:shd w:val="clear" w:color="auto" w:fill="FFFFFF"/>
        <w:ind w:firstLine="720"/>
        <w:jc w:val="both"/>
        <w:rPr>
          <w:sz w:val="24"/>
          <w:szCs w:val="24"/>
        </w:rPr>
      </w:pPr>
      <w:r>
        <w:rPr>
          <w:sz w:val="24"/>
          <w:szCs w:val="24"/>
        </w:rPr>
      </w:r>
    </w:p>
    <w:p>
      <w:pPr>
        <w:pStyle w:val="Normal"/>
        <w:shd w:val="clear" w:color="auto" w:fill="FFFFFF"/>
        <w:ind w:firstLine="720"/>
        <w:jc w:val="both"/>
        <w:rPr>
          <w:sz w:val="24"/>
          <w:szCs w:val="24"/>
        </w:rPr>
      </w:pPr>
      <w:r>
        <w:rPr>
          <w:sz w:val="24"/>
          <w:szCs w:val="24"/>
        </w:rPr>
      </w:r>
    </w:p>
    <w:p>
      <w:pPr>
        <w:pStyle w:val="Normal"/>
        <w:shd w:val="clear" w:color="auto" w:fill="FFFFFF"/>
        <w:ind w:firstLine="720"/>
        <w:jc w:val="both"/>
        <w:rPr>
          <w:sz w:val="24"/>
          <w:szCs w:val="24"/>
        </w:rPr>
      </w:pPr>
      <w:r>
        <w:rPr>
          <w:sz w:val="24"/>
          <w:szCs w:val="24"/>
        </w:rPr>
      </w:r>
    </w:p>
    <w:p>
      <w:pPr>
        <w:pStyle w:val="Normal"/>
        <w:shd w:val="clear" w:color="auto" w:fill="FFFFFF"/>
        <w:ind w:firstLine="720"/>
        <w:jc w:val="both"/>
        <w:rPr>
          <w:sz w:val="24"/>
          <w:szCs w:val="24"/>
        </w:rPr>
      </w:pPr>
      <w:r>
        <w:rPr>
          <w:sz w:val="24"/>
          <w:szCs w:val="24"/>
        </w:rPr>
      </w:r>
    </w:p>
    <w:p>
      <w:pPr>
        <w:pStyle w:val="Normal"/>
        <w:shd w:val="clear" w:color="auto" w:fill="FFFFFF"/>
        <w:ind w:firstLine="720"/>
        <w:jc w:val="both"/>
        <w:rPr>
          <w:sz w:val="24"/>
          <w:szCs w:val="24"/>
        </w:rPr>
      </w:pPr>
      <w:r>
        <w:rPr>
          <w:sz w:val="24"/>
          <w:szCs w:val="24"/>
        </w:rPr>
      </w:r>
    </w:p>
    <w:p>
      <w:pPr>
        <w:pStyle w:val="Normal"/>
        <w:shd w:val="clear" w:color="auto" w:fill="FFFFFF"/>
        <w:ind w:firstLine="720"/>
        <w:jc w:val="both"/>
        <w:rPr/>
      </w:pPr>
      <w:r>
        <w:rPr/>
      </w:r>
    </w:p>
    <w:sectPr>
      <w:type w:val="nextPage"/>
      <w:pgSz w:w="11906" w:h="16838"/>
      <w:pgMar w:left="1701" w:right="850" w:header="0" w:top="1134" w:footer="0" w:bottom="1134" w:gutter="0"/>
      <w:pgNumType w:fmt="decimal"/>
      <w:formProt w:val="false"/>
      <w:textDirection w:val="lrTb"/>
      <w:docGrid w:type="default" w:linePitch="360" w:charSpace="2047"/>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cc"/>
    <w:family w:val="roman"/>
    <w:pitch w:val="variable"/>
  </w:font>
  <w:font w:name="Calibri">
    <w:charset w:val="cc"/>
    <w:family w:val="roman"/>
    <w:pitch w:val="variable"/>
  </w:font>
  <w:font w:name="Times New Roman">
    <w:charset w:val="cc"/>
    <w:family w:val="roman"/>
    <w:pitch w:val="variable"/>
  </w:font>
  <w:font w:name="Tahoma">
    <w:charset w:val="cc"/>
    <w:family w:val="roman"/>
    <w:pitch w:val="variable"/>
  </w:font>
  <w:font w:name="Liberation Sans">
    <w:altName w:val="Arial"/>
    <w:charset w:val="cc"/>
    <w:family w:val="roman"/>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pStyle w:val="1"/>
      <w:numFmt w:val="none"/>
      <w:suff w:val="nothing"/>
      <w:lvlText w:val=""/>
      <w:lvlJc w:val="left"/>
      <w:pPr>
        <w:ind w:left="432" w:hanging="432"/>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abstractNum w:abstractNumId="2">
    <w:lvl w:ilvl="0">
      <w:start w:val="1"/>
      <w:numFmt w:val="decimal"/>
      <w:lvlText w:val="%1."/>
      <w:lvlJc w:val="left"/>
      <w:pPr>
        <w:ind w:left="1068" w:hanging="360"/>
      </w:p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3">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148"/>
  <w:defaultTabStop w:val="708"/>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ru-RU" w:eastAsia="en-US" w:bidi="ar-SA"/>
      </w:rPr>
    </w:rPrDefault>
    <w:pPrDefault>
      <w:pPr/>
    </w:pPrDefault>
  </w:docDefaults>
  <w:latentStyles w:defLockedState="0" w:defUIPriority="99" w:defSemiHidden="1" w:defUnhideWhenUsed="1" w:defQFormat="0" w:count="267">
    <w:lsdException w:name="Normal" w:uiPriority="0" w:semiHidden="0" w:unhideWhenUsed="0" w:qFormat="1"/>
    <w:lsdException w:name="heading 1" w:uiPriority="0"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0"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893985"/>
    <w:pPr>
      <w:widowControl/>
      <w:bidi w:val="0"/>
      <w:jc w:val="left"/>
    </w:pPr>
    <w:rPr>
      <w:rFonts w:ascii="Times New Roman" w:hAnsi="Times New Roman" w:eastAsia="Times New Roman" w:cs="Times New Roman"/>
      <w:color w:val="00000A"/>
      <w:sz w:val="20"/>
      <w:szCs w:val="20"/>
      <w:lang w:val="ru-RU" w:eastAsia="ru-RU" w:bidi="ar-SA"/>
    </w:rPr>
  </w:style>
  <w:style w:type="paragraph" w:styleId="1" w:customStyle="1">
    <w:name w:val="Heading 1"/>
    <w:basedOn w:val="Normal"/>
    <w:link w:val="1"/>
    <w:qFormat/>
    <w:rsid w:val="00833c5e"/>
    <w:pPr>
      <w:keepNext/>
      <w:numPr>
        <w:ilvl w:val="0"/>
        <w:numId w:val="1"/>
      </w:numPr>
      <w:suppressAutoHyphens w:val="true"/>
      <w:jc w:val="center"/>
      <w:outlineLvl w:val="0"/>
      <w:outlineLvl w:val="0"/>
    </w:pPr>
    <w:rPr>
      <w:b/>
      <w:sz w:val="24"/>
      <w:lang w:eastAsia="ar-SA"/>
    </w:rPr>
  </w:style>
  <w:style w:type="character" w:styleId="DefaultParagraphFont" w:default="1">
    <w:name w:val="Default Paragraph Font"/>
    <w:uiPriority w:val="1"/>
    <w:semiHidden/>
    <w:unhideWhenUsed/>
    <w:qFormat/>
    <w:rPr/>
  </w:style>
  <w:style w:type="character" w:styleId="3" w:customStyle="1">
    <w:name w:val="Стиль3"/>
    <w:basedOn w:val="DefaultParagraphFont"/>
    <w:uiPriority w:val="1"/>
    <w:qFormat/>
    <w:rsid w:val="00893985"/>
    <w:rPr>
      <w:rFonts w:ascii="Times New Roman" w:hAnsi="Times New Roman"/>
      <w:spacing w:val="0"/>
      <w:sz w:val="28"/>
    </w:rPr>
  </w:style>
  <w:style w:type="character" w:styleId="Style13" w:customStyle="1">
    <w:name w:val="Текст выноски Знак"/>
    <w:basedOn w:val="DefaultParagraphFont"/>
    <w:uiPriority w:val="99"/>
    <w:semiHidden/>
    <w:qFormat/>
    <w:rsid w:val="00893985"/>
    <w:rPr>
      <w:rFonts w:ascii="Tahoma" w:hAnsi="Tahoma" w:eastAsia="Times New Roman" w:cs="Tahoma"/>
      <w:sz w:val="16"/>
      <w:szCs w:val="16"/>
      <w:lang w:eastAsia="ru-RU"/>
    </w:rPr>
  </w:style>
  <w:style w:type="character" w:styleId="11" w:customStyle="1">
    <w:name w:val="Заголовок 1 Знак"/>
    <w:basedOn w:val="DefaultParagraphFont"/>
    <w:link w:val="Heading1"/>
    <w:qFormat/>
    <w:rsid w:val="00833c5e"/>
    <w:rPr>
      <w:rFonts w:ascii="Times New Roman" w:hAnsi="Times New Roman" w:eastAsia="Times New Roman" w:cs="Times New Roman"/>
      <w:b/>
      <w:sz w:val="24"/>
      <w:szCs w:val="20"/>
      <w:lang w:eastAsia="ar-SA"/>
    </w:rPr>
  </w:style>
  <w:style w:type="character" w:styleId="Style14" w:customStyle="1">
    <w:name w:val="Интернет-ссылка"/>
    <w:basedOn w:val="DefaultParagraphFont"/>
    <w:uiPriority w:val="99"/>
    <w:unhideWhenUsed/>
    <w:rsid w:val="008072fa"/>
    <w:rPr>
      <w:color w:val="0000FF"/>
      <w:u w:val="single"/>
    </w:rPr>
  </w:style>
  <w:style w:type="character" w:styleId="Buttonsearch" w:customStyle="1">
    <w:name w:val="button-search"/>
    <w:basedOn w:val="DefaultParagraphFont"/>
    <w:qFormat/>
    <w:rsid w:val="00a46413"/>
    <w:rPr/>
  </w:style>
  <w:style w:type="paragraph" w:styleId="Style15" w:customStyle="1">
    <w:name w:val="Заголовок"/>
    <w:basedOn w:val="Normal"/>
    <w:next w:val="Style16"/>
    <w:qFormat/>
    <w:rsid w:val="004b5ee1"/>
    <w:pPr>
      <w:keepNext/>
      <w:spacing w:before="240" w:after="120"/>
    </w:pPr>
    <w:rPr>
      <w:rFonts w:ascii="Liberation Sans" w:hAnsi="Liberation Sans" w:eastAsia="Microsoft YaHei" w:cs="Mangal"/>
      <w:sz w:val="28"/>
      <w:szCs w:val="28"/>
    </w:rPr>
  </w:style>
  <w:style w:type="paragraph" w:styleId="Style16">
    <w:name w:val="Body Text"/>
    <w:basedOn w:val="Normal"/>
    <w:rsid w:val="004b5ee1"/>
    <w:pPr>
      <w:spacing w:lineRule="auto" w:line="288" w:before="0" w:after="140"/>
    </w:pPr>
    <w:rPr/>
  </w:style>
  <w:style w:type="paragraph" w:styleId="Style17">
    <w:name w:val="List"/>
    <w:basedOn w:val="Style16"/>
    <w:rsid w:val="004b5ee1"/>
    <w:pPr/>
    <w:rPr>
      <w:rFonts w:cs="Mangal"/>
    </w:rPr>
  </w:style>
  <w:style w:type="paragraph" w:styleId="Style18" w:customStyle="1">
    <w:name w:val="Caption"/>
    <w:basedOn w:val="Normal"/>
    <w:qFormat/>
    <w:rsid w:val="004b5ee1"/>
    <w:pPr>
      <w:suppressLineNumbers/>
      <w:spacing w:before="120" w:after="120"/>
    </w:pPr>
    <w:rPr>
      <w:rFonts w:cs="Mangal"/>
      <w:i/>
      <w:iCs/>
      <w:sz w:val="24"/>
      <w:szCs w:val="24"/>
    </w:rPr>
  </w:style>
  <w:style w:type="paragraph" w:styleId="Style19">
    <w:name w:val="Указатель"/>
    <w:basedOn w:val="Normal"/>
    <w:qFormat/>
    <w:pPr>
      <w:suppressLineNumbers/>
    </w:pPr>
    <w:rPr>
      <w:rFonts w:cs="Mangal"/>
    </w:rPr>
  </w:style>
  <w:style w:type="paragraph" w:styleId="Indexheading">
    <w:name w:val="index heading"/>
    <w:basedOn w:val="Normal"/>
    <w:qFormat/>
    <w:rsid w:val="004b5ee1"/>
    <w:pPr>
      <w:suppressLineNumbers/>
    </w:pPr>
    <w:rPr>
      <w:rFonts w:cs="Mangal"/>
    </w:rPr>
  </w:style>
  <w:style w:type="paragraph" w:styleId="ListParagraph">
    <w:name w:val="List Paragraph"/>
    <w:basedOn w:val="Normal"/>
    <w:qFormat/>
    <w:rsid w:val="00893985"/>
    <w:pPr>
      <w:spacing w:before="0" w:after="0"/>
      <w:ind w:left="720" w:hanging="0"/>
      <w:contextualSpacing/>
    </w:pPr>
    <w:rPr/>
  </w:style>
  <w:style w:type="paragraph" w:styleId="BalloonText">
    <w:name w:val="Balloon Text"/>
    <w:basedOn w:val="Normal"/>
    <w:uiPriority w:val="99"/>
    <w:semiHidden/>
    <w:unhideWhenUsed/>
    <w:qFormat/>
    <w:rsid w:val="00893985"/>
    <w:pPr/>
    <w:rPr>
      <w:rFonts w:ascii="Tahoma" w:hAnsi="Tahoma" w:cs="Tahoma"/>
      <w:sz w:val="16"/>
      <w:szCs w:val="16"/>
    </w:rPr>
  </w:style>
  <w:style w:type="numbering" w:styleId="NoList" w:default="1">
    <w:name w:val="No List"/>
    <w:uiPriority w:val="99"/>
    <w:semiHidden/>
    <w:unhideWhenUsed/>
    <w:qFormat/>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table" w:styleId="aa">
    <w:name w:val="Table Grid"/>
    <w:basedOn w:val="a1"/>
    <w:uiPriority w:val="59"/>
    <w:rsid w:val="00163aea"/>
    <w:tblP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pkk5.rosreestr.ru/" TargetMode="External"/><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Application>LibreOffice/5.2.2.2$Windows_X86_64 LibreOffice_project/8f96e87c890bf8fa77463cd4b640a2312823f3ad</Application>
  <Pages>4</Pages>
  <Words>1104</Words>
  <Characters>8226</Characters>
  <CharactersWithSpaces>9515</CharactersWithSpaces>
  <Paragraphs>65</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2023-02-06T01:14:00Z</dcterms:created>
  <dc:creator>User</dc:creator>
  <dc:description/>
  <dc:language>ru-RU</dc:language>
  <cp:lastModifiedBy/>
  <cp:lastPrinted>2025-01-30T12:21:46Z</cp:lastPrinted>
  <dcterms:modified xsi:type="dcterms:W3CDTF">2025-01-31T11:24:47Z</dcterms:modified>
  <cp:revision>13</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